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0F7CA" w14:textId="77777777" w:rsidR="008E393C" w:rsidRPr="008E393C" w:rsidRDefault="008E393C" w:rsidP="008E393C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CC3300"/>
          <w:kern w:val="36"/>
          <w:sz w:val="36"/>
          <w:szCs w:val="36"/>
          <w:lang w:eastAsia="fr-BE"/>
        </w:rPr>
      </w:pPr>
      <w:r w:rsidRPr="008E393C">
        <w:rPr>
          <w:rFonts w:ascii="Verdana" w:eastAsia="Times New Roman" w:hAnsi="Verdana" w:cs="Times New Roman"/>
          <w:color w:val="CC3300"/>
          <w:kern w:val="36"/>
          <w:sz w:val="36"/>
          <w:szCs w:val="36"/>
          <w:lang w:eastAsia="fr-BE"/>
        </w:rPr>
        <w:t>Coupures d’électricité / Chine : la production d’aluminium, la plus durement touchée</w:t>
      </w:r>
    </w:p>
    <w:p w14:paraId="5398BB45" w14:textId="77777777" w:rsidR="008E393C" w:rsidRDefault="008E393C" w:rsidP="008E393C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fr-BE"/>
        </w:rPr>
      </w:pPr>
    </w:p>
    <w:p w14:paraId="35C29225" w14:textId="18B785E7" w:rsidR="008E393C" w:rsidRPr="008E393C" w:rsidRDefault="008E393C" w:rsidP="008E393C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8E393C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Les restrictions d’accès à l’électricité ont eu pour conséquence la fermeture de quelque 7% des capacités de production annuelles d’aluminium cette année.</w:t>
      </w:r>
    </w:p>
    <w:p w14:paraId="046D5C7A" w14:textId="77777777" w:rsidR="008E393C" w:rsidRPr="008E393C" w:rsidRDefault="008E393C" w:rsidP="008E393C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8E393C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 </w:t>
      </w:r>
    </w:p>
    <w:p w14:paraId="72816F49" w14:textId="77777777" w:rsidR="008E393C" w:rsidRPr="008E393C" w:rsidRDefault="008E393C" w:rsidP="008E393C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8E393C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Dans l’une des premières études prenant en compte ces restrictions, Wood Mackenzie constate que la production de cuivre a été moins durement touchée que celle d’</w:t>
      </w:r>
      <w:r w:rsidRPr="008E393C">
        <w:rPr>
          <w:rFonts w:ascii="Verdana" w:eastAsia="Times New Roman" w:hAnsi="Verdana" w:cs="Times New Roman"/>
          <w:color w:val="000000"/>
          <w:sz w:val="23"/>
          <w:szCs w:val="23"/>
          <w:u w:val="single"/>
          <w:lang w:eastAsia="fr-BE"/>
        </w:rPr>
        <w:t>aluminium</w:t>
      </w:r>
      <w:r w:rsidRPr="008E393C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 cette année. En revanche, la consommation devrait être impactée au premier semestre 2022, si les coupures d’électricité devaient s’intensifier. « </w:t>
      </w:r>
      <w:r w:rsidRPr="008E393C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fr-BE"/>
        </w:rPr>
        <w:t>Nous avons relevé qu’environ 3,2 millions de tonnes de capacités de production d’aluminium ont été fermées jusqu’ici, dont une petite partie seulement a depuis été redémarrée</w:t>
      </w:r>
      <w:r w:rsidRPr="008E393C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 », indique Wood Mackenzie. «</w:t>
      </w:r>
      <w:r w:rsidRPr="008E393C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fr-BE"/>
        </w:rPr>
        <w:t> Nous prévoyons d’autres arrêts de capacités dans la province de Yunnan au quatrième trimestre 2021, les restrictions d’accès à l’hydroélectricité étant exacerbées par le manque d’eau durant la période sèche</w:t>
      </w:r>
      <w:r w:rsidRPr="008E393C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 », poursuit l’analyste.</w:t>
      </w:r>
    </w:p>
    <w:p w14:paraId="6A9741D9" w14:textId="77777777" w:rsidR="008E393C" w:rsidRPr="008E393C" w:rsidRDefault="008E393C" w:rsidP="008E393C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8E393C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La Chine a réduit son accès à l’électricité pour les industries qui en sont très gourmandes, afin de réduire ses émissions de carbone et de réserver son électricité aux ménages cet hiver.</w:t>
      </w:r>
    </w:p>
    <w:p w14:paraId="47C60543" w14:textId="77777777" w:rsidR="008E393C" w:rsidRPr="008E393C" w:rsidRDefault="008E393C" w:rsidP="008E393C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8E393C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Les coupures d’électricité ont affecté près de 60.000 tonnes de capacités de production chez les fondeurs et les recycleurs de </w:t>
      </w:r>
      <w:r w:rsidRPr="008E393C">
        <w:rPr>
          <w:rFonts w:ascii="Verdana" w:eastAsia="Times New Roman" w:hAnsi="Verdana" w:cs="Times New Roman"/>
          <w:color w:val="000000"/>
          <w:sz w:val="23"/>
          <w:szCs w:val="23"/>
          <w:u w:val="single"/>
          <w:lang w:eastAsia="fr-BE"/>
        </w:rPr>
        <w:t>cuivre</w:t>
      </w:r>
      <w:r w:rsidRPr="008E393C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, soit moins de 1% de la capacité totale de production de l’Empire du Milieu, précise le consultant Yong Cheng Zhao, dans l’étude.</w:t>
      </w:r>
    </w:p>
    <w:p w14:paraId="12C4B69B" w14:textId="77777777" w:rsidR="008E393C" w:rsidRPr="008E393C" w:rsidRDefault="008E393C" w:rsidP="008E393C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8E393C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Les restrictions ont également pénalisé les fabricants de tubes et de fils machine en cuivre, ainsi que les fabricants de fils et de câbles, souligne encore </w:t>
      </w:r>
      <w:proofErr w:type="spellStart"/>
      <w:r w:rsidRPr="008E393C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Zhifei</w:t>
      </w:r>
      <w:proofErr w:type="spellEnd"/>
      <w:r w:rsidRPr="008E393C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 Liu, un autre consultant.</w:t>
      </w:r>
    </w:p>
    <w:p w14:paraId="1F9E14EE" w14:textId="77777777" w:rsidR="008E393C" w:rsidRPr="008E393C" w:rsidRDefault="008E393C" w:rsidP="008E393C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8E393C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Si les coupures d’électricité sont toujours de rigueur, elles ne sont pas aussi sévères durant ce quatrième trimestre qu’elles ne </w:t>
      </w:r>
      <w:proofErr w:type="gramStart"/>
      <w:r w:rsidRPr="008E393C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l’ont été</w:t>
      </w:r>
      <w:proofErr w:type="gramEnd"/>
      <w:r w:rsidRPr="008E393C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 en septembre. Le rationnement de l’électricité pourrait durer jusqu’au second trimestre 2022.</w:t>
      </w:r>
    </w:p>
    <w:p w14:paraId="0E959FEB" w14:textId="77777777" w:rsidR="008E393C" w:rsidRPr="008E393C" w:rsidRDefault="008E393C" w:rsidP="008E393C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8E393C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Les restrictions ont également impacté 35.000 tonnes de capacités de production de </w:t>
      </w:r>
      <w:r w:rsidRPr="008E393C">
        <w:rPr>
          <w:rFonts w:ascii="Verdana" w:eastAsia="Times New Roman" w:hAnsi="Verdana" w:cs="Times New Roman"/>
          <w:color w:val="000000"/>
          <w:sz w:val="23"/>
          <w:szCs w:val="23"/>
          <w:u w:val="single"/>
          <w:lang w:eastAsia="fr-BE"/>
        </w:rPr>
        <w:t>fonte de nickel</w:t>
      </w:r>
      <w:r w:rsidRPr="008E393C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 et réduit la consommation de nickel de 111.000 tonnes cette année.</w:t>
      </w:r>
    </w:p>
    <w:p w14:paraId="1D24A95B" w14:textId="77777777" w:rsidR="008E393C" w:rsidRPr="008E393C" w:rsidRDefault="008E393C" w:rsidP="008E393C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8E393C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S’agissant du </w:t>
      </w:r>
      <w:r w:rsidRPr="008E393C">
        <w:rPr>
          <w:rFonts w:ascii="Verdana" w:eastAsia="Times New Roman" w:hAnsi="Verdana" w:cs="Times New Roman"/>
          <w:color w:val="000000"/>
          <w:sz w:val="23"/>
          <w:szCs w:val="23"/>
          <w:u w:val="single"/>
          <w:lang w:eastAsia="fr-BE"/>
        </w:rPr>
        <w:t>plomb</w:t>
      </w:r>
      <w:r w:rsidRPr="008E393C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, les producteurs des provinces de Yunnan, Guangxi et </w:t>
      </w:r>
      <w:proofErr w:type="spellStart"/>
      <w:r w:rsidRPr="008E393C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Hunnan</w:t>
      </w:r>
      <w:proofErr w:type="spellEnd"/>
      <w:r w:rsidRPr="008E393C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 ont perdu entre 50.000 et 60.000 tonnes de capacités de production.</w:t>
      </w:r>
    </w:p>
    <w:p w14:paraId="2281B744" w14:textId="77777777" w:rsidR="00DA0C14" w:rsidRDefault="00DA0C14"/>
    <w:sectPr w:rsidR="00DA0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3C"/>
    <w:rsid w:val="00086BC8"/>
    <w:rsid w:val="00633CB8"/>
    <w:rsid w:val="008E393C"/>
    <w:rsid w:val="00DA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38F8"/>
  <w15:chartTrackingRefBased/>
  <w15:docId w15:val="{61DA3FF3-AA80-4A1F-A10C-4041EE20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2021-11-16T11:10:00Z</dcterms:created>
  <dcterms:modified xsi:type="dcterms:W3CDTF">2021-11-16T11:11:00Z</dcterms:modified>
</cp:coreProperties>
</file>